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7A73" w14:textId="77777777" w:rsidR="00827210" w:rsidRDefault="00827210" w:rsidP="000B71E2">
      <w:pPr>
        <w:rPr>
          <w:noProof/>
        </w:rPr>
      </w:pPr>
    </w:p>
    <w:p w14:paraId="57E17541" w14:textId="77777777" w:rsidR="00827210" w:rsidRPr="00ED62A8" w:rsidRDefault="00827210" w:rsidP="000B71E2">
      <w:pPr>
        <w:rPr>
          <w:b/>
          <w:bCs/>
          <w:noProof/>
        </w:rPr>
      </w:pPr>
      <w:r w:rsidRPr="00ED62A8">
        <w:rPr>
          <w:b/>
          <w:bCs/>
          <w:noProof/>
        </w:rPr>
        <w:t>DOPUSTNE DEJAVNOSTI NAMENSKA RABA – Dalmatinova 4, Ljubljana</w:t>
      </w:r>
    </w:p>
    <w:p w14:paraId="7F5C1288" w14:textId="77777777" w:rsidR="00827210" w:rsidRDefault="00827210" w:rsidP="000B71E2">
      <w:pPr>
        <w:rPr>
          <w:noProof/>
        </w:rPr>
      </w:pPr>
    </w:p>
    <w:p w14:paraId="0A3FD608" w14:textId="77777777" w:rsidR="00827210" w:rsidRPr="00827210" w:rsidRDefault="00827210" w:rsidP="00827210">
      <w:pPr>
        <w:rPr>
          <w:noProof/>
        </w:rPr>
      </w:pPr>
      <w:r>
        <w:rPr>
          <w:noProof/>
        </w:rPr>
        <w:drawing>
          <wp:inline distT="0" distB="0" distL="0" distR="0" wp14:anchorId="3ACAB7DD" wp14:editId="0DFC7DEB">
            <wp:extent cx="6048375" cy="3429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2B6AA" w14:textId="77777777" w:rsidR="00827210" w:rsidRDefault="00827210" w:rsidP="00827210">
      <w:pPr>
        <w:rPr>
          <w:noProof/>
        </w:rPr>
      </w:pPr>
    </w:p>
    <w:p w14:paraId="592675B7" w14:textId="77777777" w:rsidR="00827210" w:rsidRPr="00ED62A8" w:rsidRDefault="00827210" w:rsidP="00827210">
      <w:pPr>
        <w:autoSpaceDE w:val="0"/>
        <w:autoSpaceDN w:val="0"/>
        <w:rPr>
          <w:rFonts w:ascii="Arial-BoldMT" w:hAnsi="Arial-BoldMT"/>
          <w:b/>
          <w:bCs/>
          <w:lang w:eastAsia="sl-SI"/>
        </w:rPr>
      </w:pPr>
      <w:r w:rsidRPr="00ED62A8">
        <w:rPr>
          <w:rFonts w:ascii="Arial-BoldMT" w:hAnsi="Arial-BoldMT"/>
          <w:b/>
          <w:bCs/>
          <w:lang w:eastAsia="sl-SI"/>
        </w:rPr>
        <w:t>Osrednja območja centralnih dejavnosti</w:t>
      </w:r>
    </w:p>
    <w:p w14:paraId="392EDC61" w14:textId="77777777" w:rsidR="000F0A8B" w:rsidRDefault="000F0A8B" w:rsidP="00827210">
      <w:pPr>
        <w:autoSpaceDE w:val="0"/>
        <w:autoSpaceDN w:val="0"/>
        <w:rPr>
          <w:lang w:eastAsia="sl-SI"/>
        </w:rPr>
      </w:pPr>
    </w:p>
    <w:p w14:paraId="337EE524" w14:textId="373CF925" w:rsidR="00827210" w:rsidRPr="000F0A8B" w:rsidRDefault="00827210" w:rsidP="00827210">
      <w:pPr>
        <w:autoSpaceDE w:val="0"/>
        <w:autoSpaceDN w:val="0"/>
        <w:rPr>
          <w:b/>
          <w:bCs/>
          <w:u w:val="single"/>
          <w:lang w:eastAsia="sl-SI"/>
        </w:rPr>
      </w:pPr>
      <w:r w:rsidRPr="000F0A8B">
        <w:rPr>
          <w:b/>
          <w:bCs/>
          <w:u w:val="single"/>
          <w:lang w:eastAsia="sl-SI"/>
        </w:rPr>
        <w:t>1. Dopustni objekti in dejavnosti:</w:t>
      </w:r>
    </w:p>
    <w:p w14:paraId="262972FE" w14:textId="77777777" w:rsidR="00827210" w:rsidRPr="00ED62A8" w:rsidRDefault="00827210" w:rsidP="00827210">
      <w:pPr>
        <w:autoSpaceDE w:val="0"/>
        <w:autoSpaceDN w:val="0"/>
        <w:rPr>
          <w:rFonts w:ascii="ArialMT" w:hAnsi="ArialMT"/>
          <w:lang w:eastAsia="sl-SI"/>
        </w:rPr>
      </w:pPr>
      <w:r w:rsidRPr="00ED62A8">
        <w:rPr>
          <w:lang w:eastAsia="sl-SI"/>
        </w:rPr>
        <w:t>- 11220 Tri- in ve</w:t>
      </w:r>
      <w:r w:rsidRPr="00ED62A8">
        <w:rPr>
          <w:rFonts w:ascii="ArialMT" w:hAnsi="ArialMT"/>
          <w:lang w:eastAsia="sl-SI"/>
        </w:rPr>
        <w:t>čstanovanjske stavbe,</w:t>
      </w:r>
    </w:p>
    <w:p w14:paraId="1F2D36BE" w14:textId="77777777" w:rsidR="00827210" w:rsidRPr="00ED62A8" w:rsidRDefault="00827210" w:rsidP="00827210">
      <w:pPr>
        <w:autoSpaceDE w:val="0"/>
        <w:autoSpaceDN w:val="0"/>
        <w:rPr>
          <w:rFonts w:ascii="ArialMT" w:hAnsi="ArialMT"/>
          <w:lang w:eastAsia="sl-SI"/>
        </w:rPr>
      </w:pPr>
      <w:r w:rsidRPr="00ED62A8">
        <w:rPr>
          <w:lang w:eastAsia="sl-SI"/>
        </w:rPr>
        <w:t xml:space="preserve">- </w:t>
      </w:r>
      <w:r w:rsidRPr="00ED62A8">
        <w:rPr>
          <w:rFonts w:ascii="ArialMT" w:hAnsi="ArialMT"/>
          <w:lang w:eastAsia="sl-SI"/>
        </w:rPr>
        <w:t>11302 Stanovanjske stavbe za druge posebne družbene skupine,</w:t>
      </w:r>
    </w:p>
    <w:p w14:paraId="2499E0E8" w14:textId="77777777" w:rsidR="00827210" w:rsidRPr="00ED62A8" w:rsidRDefault="00827210" w:rsidP="00827210">
      <w:pPr>
        <w:autoSpaceDE w:val="0"/>
        <w:autoSpaceDN w:val="0"/>
        <w:rPr>
          <w:lang w:eastAsia="sl-SI"/>
        </w:rPr>
      </w:pPr>
      <w:r w:rsidRPr="00ED62A8">
        <w:rPr>
          <w:lang w:eastAsia="sl-SI"/>
        </w:rPr>
        <w:t>- 11301 Stanovanjske stavbe z oskrbovanimi stanovanji,</w:t>
      </w:r>
    </w:p>
    <w:p w14:paraId="3E55DB81" w14:textId="77777777" w:rsidR="00827210" w:rsidRPr="00ED62A8" w:rsidRDefault="00827210" w:rsidP="00827210">
      <w:pPr>
        <w:autoSpaceDE w:val="0"/>
        <w:autoSpaceDN w:val="0"/>
        <w:rPr>
          <w:rFonts w:ascii="ArialMT" w:hAnsi="ArialMT"/>
          <w:lang w:eastAsia="sl-SI"/>
        </w:rPr>
      </w:pPr>
      <w:r w:rsidRPr="00ED62A8">
        <w:rPr>
          <w:lang w:eastAsia="sl-SI"/>
        </w:rPr>
        <w:t xml:space="preserve">- </w:t>
      </w:r>
      <w:r w:rsidRPr="00ED62A8">
        <w:rPr>
          <w:rFonts w:ascii="ArialMT" w:hAnsi="ArialMT"/>
          <w:lang w:eastAsia="sl-SI"/>
        </w:rPr>
        <w:t>12112 Gostilne, restavracije in točilnice,</w:t>
      </w:r>
    </w:p>
    <w:p w14:paraId="7ED2B8AE" w14:textId="77777777" w:rsidR="00827210" w:rsidRPr="00ED62A8" w:rsidRDefault="00827210" w:rsidP="00827210">
      <w:pPr>
        <w:autoSpaceDE w:val="0"/>
        <w:autoSpaceDN w:val="0"/>
        <w:rPr>
          <w:lang w:eastAsia="sl-SI"/>
        </w:rPr>
      </w:pPr>
      <w:r w:rsidRPr="00ED62A8">
        <w:rPr>
          <w:lang w:eastAsia="sl-SI"/>
        </w:rPr>
        <w:t>- 12111 Hotelske in podobne stavbe za kratkotrajno nastanitev,</w:t>
      </w:r>
    </w:p>
    <w:p w14:paraId="7503DCB9" w14:textId="77777777" w:rsidR="00827210" w:rsidRPr="00ED62A8" w:rsidRDefault="00827210" w:rsidP="00827210">
      <w:pPr>
        <w:autoSpaceDE w:val="0"/>
        <w:autoSpaceDN w:val="0"/>
        <w:rPr>
          <w:lang w:eastAsia="sl-SI"/>
        </w:rPr>
      </w:pPr>
      <w:r w:rsidRPr="00ED62A8">
        <w:rPr>
          <w:lang w:eastAsia="sl-SI"/>
        </w:rPr>
        <w:t>- 12120 Druge gostinske stavbe za kratkotrajno nastanitev,</w:t>
      </w:r>
    </w:p>
    <w:p w14:paraId="3037AC9B" w14:textId="77777777" w:rsidR="00827210" w:rsidRPr="00ED62A8" w:rsidRDefault="00827210" w:rsidP="00827210">
      <w:pPr>
        <w:autoSpaceDE w:val="0"/>
        <w:autoSpaceDN w:val="0"/>
        <w:rPr>
          <w:lang w:eastAsia="sl-SI"/>
        </w:rPr>
      </w:pPr>
      <w:r w:rsidRPr="00ED62A8">
        <w:rPr>
          <w:lang w:eastAsia="sl-SI"/>
        </w:rPr>
        <w:t>- 12201 Stavbe javne uprave,</w:t>
      </w:r>
    </w:p>
    <w:p w14:paraId="62E57279" w14:textId="77777777" w:rsidR="00827210" w:rsidRPr="00ED62A8" w:rsidRDefault="00827210" w:rsidP="00827210">
      <w:pPr>
        <w:autoSpaceDE w:val="0"/>
        <w:autoSpaceDN w:val="0"/>
        <w:rPr>
          <w:rFonts w:ascii="ArialMT" w:hAnsi="ArialMT"/>
          <w:lang w:eastAsia="sl-SI"/>
        </w:rPr>
      </w:pPr>
      <w:r w:rsidRPr="00ED62A8">
        <w:rPr>
          <w:lang w:eastAsia="sl-SI"/>
        </w:rPr>
        <w:t xml:space="preserve">- </w:t>
      </w:r>
      <w:r w:rsidRPr="00ED62A8">
        <w:rPr>
          <w:rFonts w:ascii="ArialMT" w:hAnsi="ArialMT"/>
          <w:lang w:eastAsia="sl-SI"/>
        </w:rPr>
        <w:t>12202 Stavbe bank, pošt, zavarovalnic,</w:t>
      </w:r>
    </w:p>
    <w:p w14:paraId="176586B1" w14:textId="77777777" w:rsidR="00827210" w:rsidRPr="00ED62A8" w:rsidRDefault="00827210" w:rsidP="00827210">
      <w:pPr>
        <w:autoSpaceDE w:val="0"/>
        <w:autoSpaceDN w:val="0"/>
        <w:rPr>
          <w:lang w:eastAsia="sl-SI"/>
        </w:rPr>
      </w:pPr>
      <w:r w:rsidRPr="00ED62A8">
        <w:rPr>
          <w:lang w:eastAsia="sl-SI"/>
        </w:rPr>
        <w:t>- 12203 Druge poslovne stavbe,</w:t>
      </w:r>
    </w:p>
    <w:p w14:paraId="2CECFC02" w14:textId="77777777" w:rsidR="00827210" w:rsidRPr="00ED62A8" w:rsidRDefault="00827210" w:rsidP="00827210">
      <w:pPr>
        <w:autoSpaceDE w:val="0"/>
        <w:autoSpaceDN w:val="0"/>
        <w:rPr>
          <w:rFonts w:ascii="ArialMT" w:hAnsi="ArialMT"/>
          <w:lang w:eastAsia="sl-SI"/>
        </w:rPr>
      </w:pPr>
      <w:r w:rsidRPr="00ED62A8">
        <w:rPr>
          <w:lang w:eastAsia="sl-SI"/>
        </w:rPr>
        <w:t xml:space="preserve">- </w:t>
      </w:r>
      <w:r w:rsidRPr="00ED62A8">
        <w:rPr>
          <w:rFonts w:ascii="ArialMT" w:hAnsi="ArialMT"/>
          <w:lang w:eastAsia="sl-SI"/>
        </w:rPr>
        <w:t>12301 Trgovske stavbe (tudi nepokrite tržnice),</w:t>
      </w:r>
    </w:p>
    <w:p w14:paraId="1A8CAC0D" w14:textId="77777777" w:rsidR="00827210" w:rsidRPr="00ED62A8" w:rsidRDefault="00827210" w:rsidP="00827210">
      <w:pPr>
        <w:autoSpaceDE w:val="0"/>
        <w:autoSpaceDN w:val="0"/>
        <w:rPr>
          <w:lang w:eastAsia="sl-SI"/>
        </w:rPr>
      </w:pPr>
      <w:r w:rsidRPr="00ED62A8">
        <w:rPr>
          <w:lang w:eastAsia="sl-SI"/>
        </w:rPr>
        <w:t>- 12304 Stavbe za storitvene dejavnosti,</w:t>
      </w:r>
    </w:p>
    <w:p w14:paraId="21B1219A" w14:textId="77777777" w:rsidR="00827210" w:rsidRPr="00ED62A8" w:rsidRDefault="00827210" w:rsidP="00827210">
      <w:pPr>
        <w:autoSpaceDE w:val="0"/>
        <w:autoSpaceDN w:val="0"/>
        <w:rPr>
          <w:lang w:eastAsia="sl-SI"/>
        </w:rPr>
      </w:pPr>
      <w:r w:rsidRPr="00ED62A8">
        <w:rPr>
          <w:lang w:eastAsia="sl-SI"/>
        </w:rPr>
        <w:t>- 12610 Stavbe za kulturo in razvedrilo,</w:t>
      </w:r>
    </w:p>
    <w:p w14:paraId="2362D13C" w14:textId="77777777" w:rsidR="00827210" w:rsidRPr="00ED62A8" w:rsidRDefault="00827210" w:rsidP="00827210">
      <w:pPr>
        <w:autoSpaceDE w:val="0"/>
        <w:autoSpaceDN w:val="0"/>
        <w:rPr>
          <w:rFonts w:ascii="ArialMT" w:hAnsi="ArialMT"/>
          <w:lang w:eastAsia="sl-SI"/>
        </w:rPr>
      </w:pPr>
      <w:r w:rsidRPr="00ED62A8">
        <w:rPr>
          <w:lang w:eastAsia="sl-SI"/>
        </w:rPr>
        <w:t xml:space="preserve">- </w:t>
      </w:r>
      <w:r w:rsidRPr="00ED62A8">
        <w:rPr>
          <w:rFonts w:ascii="ArialMT" w:hAnsi="ArialMT"/>
          <w:lang w:eastAsia="sl-SI"/>
        </w:rPr>
        <w:t>12620 Muzeji in knjižnice,</w:t>
      </w:r>
    </w:p>
    <w:p w14:paraId="2101BECB" w14:textId="77777777" w:rsidR="00827210" w:rsidRPr="00ED62A8" w:rsidRDefault="00827210" w:rsidP="00827210">
      <w:pPr>
        <w:autoSpaceDE w:val="0"/>
        <w:autoSpaceDN w:val="0"/>
        <w:rPr>
          <w:rFonts w:ascii="ArialMT" w:hAnsi="ArialMT"/>
          <w:lang w:eastAsia="sl-SI"/>
        </w:rPr>
      </w:pPr>
      <w:r w:rsidRPr="00ED62A8">
        <w:rPr>
          <w:lang w:eastAsia="sl-SI"/>
        </w:rPr>
        <w:t xml:space="preserve">- </w:t>
      </w:r>
      <w:r w:rsidRPr="00ED62A8">
        <w:rPr>
          <w:rFonts w:ascii="ArialMT" w:hAnsi="ArialMT"/>
          <w:lang w:eastAsia="sl-SI"/>
        </w:rPr>
        <w:t>12630 Stavbe za izobraževanje in znanstvenoraziskovalno delo,</w:t>
      </w:r>
    </w:p>
    <w:p w14:paraId="5B013CF9" w14:textId="77777777" w:rsidR="00827210" w:rsidRPr="00ED62A8" w:rsidRDefault="00827210" w:rsidP="00827210">
      <w:pPr>
        <w:autoSpaceDE w:val="0"/>
        <w:autoSpaceDN w:val="0"/>
        <w:rPr>
          <w:lang w:eastAsia="sl-SI"/>
        </w:rPr>
      </w:pPr>
      <w:r w:rsidRPr="00ED62A8">
        <w:rPr>
          <w:lang w:eastAsia="sl-SI"/>
        </w:rPr>
        <w:t>- 12640 Stavbe za zdravstveno oskrbo,</w:t>
      </w:r>
    </w:p>
    <w:p w14:paraId="598D0462" w14:textId="77777777" w:rsidR="00827210" w:rsidRPr="00ED62A8" w:rsidRDefault="00827210" w:rsidP="00827210">
      <w:pPr>
        <w:autoSpaceDE w:val="0"/>
        <w:autoSpaceDN w:val="0"/>
        <w:rPr>
          <w:rFonts w:ascii="ArialMT" w:hAnsi="ArialMT"/>
          <w:lang w:eastAsia="sl-SI"/>
        </w:rPr>
      </w:pPr>
      <w:r w:rsidRPr="00ED62A8">
        <w:rPr>
          <w:lang w:eastAsia="sl-SI"/>
        </w:rPr>
        <w:t xml:space="preserve">- </w:t>
      </w:r>
      <w:r w:rsidRPr="00ED62A8">
        <w:rPr>
          <w:rFonts w:ascii="ArialMT" w:hAnsi="ArialMT"/>
          <w:lang w:eastAsia="sl-SI"/>
        </w:rPr>
        <w:t>12650 Stavbe za šport,</w:t>
      </w:r>
    </w:p>
    <w:p w14:paraId="11EDFAF9" w14:textId="77777777" w:rsidR="00827210" w:rsidRPr="00ED62A8" w:rsidRDefault="00827210" w:rsidP="00827210">
      <w:pPr>
        <w:autoSpaceDE w:val="0"/>
        <w:autoSpaceDN w:val="0"/>
        <w:rPr>
          <w:lang w:eastAsia="sl-SI"/>
        </w:rPr>
      </w:pPr>
      <w:r w:rsidRPr="00ED62A8">
        <w:rPr>
          <w:lang w:eastAsia="sl-SI"/>
        </w:rPr>
        <w:t>- 12721 Stavbe za opravljanje verskih obredov,</w:t>
      </w:r>
    </w:p>
    <w:p w14:paraId="71C1CDFD" w14:textId="77777777" w:rsidR="00827210" w:rsidRPr="00ED62A8" w:rsidRDefault="00827210" w:rsidP="00827210">
      <w:pPr>
        <w:autoSpaceDE w:val="0"/>
        <w:autoSpaceDN w:val="0"/>
        <w:rPr>
          <w:rFonts w:ascii="ArialMT" w:hAnsi="ArialMT"/>
          <w:lang w:eastAsia="sl-SI"/>
        </w:rPr>
      </w:pPr>
      <w:r w:rsidRPr="00ED62A8">
        <w:rPr>
          <w:lang w:eastAsia="sl-SI"/>
        </w:rPr>
        <w:t xml:space="preserve">- </w:t>
      </w:r>
      <w:r w:rsidRPr="00ED62A8">
        <w:rPr>
          <w:rFonts w:ascii="ArialMT" w:hAnsi="ArialMT"/>
          <w:lang w:eastAsia="sl-SI"/>
        </w:rPr>
        <w:t>24110 Športna igrišča,</w:t>
      </w:r>
    </w:p>
    <w:p w14:paraId="33085135" w14:textId="77777777" w:rsidR="00827210" w:rsidRPr="00ED62A8" w:rsidRDefault="00827210" w:rsidP="00827210">
      <w:pPr>
        <w:autoSpaceDE w:val="0"/>
        <w:autoSpaceDN w:val="0"/>
        <w:rPr>
          <w:rFonts w:ascii="ArialMT" w:hAnsi="ArialMT"/>
          <w:lang w:eastAsia="sl-SI"/>
        </w:rPr>
      </w:pPr>
      <w:r w:rsidRPr="00ED62A8">
        <w:rPr>
          <w:lang w:eastAsia="sl-SI"/>
        </w:rPr>
        <w:t xml:space="preserve">- </w:t>
      </w:r>
      <w:r w:rsidRPr="00ED62A8">
        <w:rPr>
          <w:rFonts w:ascii="ArialMT" w:hAnsi="ArialMT"/>
          <w:lang w:eastAsia="sl-SI"/>
        </w:rPr>
        <w:t>24122 Drugi gradbeni inženirski objekti za šport, rekreacijo in prosti čas,</w:t>
      </w:r>
    </w:p>
    <w:p w14:paraId="6120201D" w14:textId="77777777" w:rsidR="00827210" w:rsidRPr="00ED62A8" w:rsidRDefault="00827210" w:rsidP="00827210">
      <w:pPr>
        <w:autoSpaceDE w:val="0"/>
        <w:autoSpaceDN w:val="0"/>
        <w:rPr>
          <w:rFonts w:ascii="ArialMT" w:hAnsi="ArialMT"/>
          <w:lang w:eastAsia="sl-SI"/>
        </w:rPr>
      </w:pPr>
      <w:r w:rsidRPr="00ED62A8">
        <w:rPr>
          <w:lang w:eastAsia="sl-SI"/>
        </w:rPr>
        <w:t xml:space="preserve">- </w:t>
      </w:r>
      <w:r w:rsidRPr="00ED62A8">
        <w:rPr>
          <w:rFonts w:ascii="ArialMT" w:hAnsi="ArialMT"/>
          <w:lang w:eastAsia="sl-SI"/>
        </w:rPr>
        <w:t>12740 Druge stavbe, ki niso uvrščene drugje: samo gasilski domovi s spremljajočim programom,</w:t>
      </w:r>
    </w:p>
    <w:p w14:paraId="287CEBC7" w14:textId="77777777" w:rsidR="00827210" w:rsidRPr="00ED62A8" w:rsidRDefault="00827210" w:rsidP="00827210">
      <w:pPr>
        <w:autoSpaceDE w:val="0"/>
        <w:autoSpaceDN w:val="0"/>
        <w:rPr>
          <w:rFonts w:ascii="ArialMT" w:hAnsi="ArialMT"/>
          <w:lang w:eastAsia="sl-SI"/>
        </w:rPr>
      </w:pPr>
      <w:r w:rsidRPr="00ED62A8">
        <w:rPr>
          <w:lang w:eastAsia="sl-SI"/>
        </w:rPr>
        <w:t xml:space="preserve">- </w:t>
      </w:r>
      <w:r w:rsidRPr="00ED62A8">
        <w:rPr>
          <w:rFonts w:ascii="ArialMT" w:hAnsi="ArialMT"/>
          <w:lang w:eastAsia="sl-SI"/>
        </w:rPr>
        <w:t>12420 Garažne stavbe: samo garaže.</w:t>
      </w:r>
    </w:p>
    <w:p w14:paraId="5B6DF2B4" w14:textId="77777777" w:rsidR="00827210" w:rsidRPr="00ED62A8" w:rsidRDefault="00827210" w:rsidP="00827210">
      <w:pPr>
        <w:autoSpaceDE w:val="0"/>
        <w:autoSpaceDN w:val="0"/>
        <w:rPr>
          <w:rFonts w:ascii="ArialMT" w:hAnsi="ArialMT"/>
          <w:lang w:eastAsia="sl-SI"/>
        </w:rPr>
      </w:pPr>
      <w:r w:rsidRPr="00ED62A8">
        <w:rPr>
          <w:rFonts w:ascii="ArialMT" w:hAnsi="ArialMT"/>
          <w:lang w:eastAsia="sl-SI"/>
        </w:rPr>
        <w:t>a) V območjih tipa NV so dopustne le:</w:t>
      </w:r>
    </w:p>
    <w:p w14:paraId="2404D330" w14:textId="77777777" w:rsidR="00827210" w:rsidRPr="00ED62A8" w:rsidRDefault="00827210" w:rsidP="00827210">
      <w:pPr>
        <w:autoSpaceDE w:val="0"/>
        <w:autoSpaceDN w:val="0"/>
        <w:rPr>
          <w:lang w:eastAsia="sl-SI"/>
        </w:rPr>
      </w:pPr>
      <w:r w:rsidRPr="00ED62A8">
        <w:rPr>
          <w:lang w:eastAsia="sl-SI"/>
        </w:rPr>
        <w:t>- 11100 Enostanovanjske stavbe,</w:t>
      </w:r>
    </w:p>
    <w:p w14:paraId="68268C36" w14:textId="77777777" w:rsidR="00827210" w:rsidRPr="00ED62A8" w:rsidRDefault="00827210" w:rsidP="00827210">
      <w:pPr>
        <w:autoSpaceDE w:val="0"/>
        <w:autoSpaceDN w:val="0"/>
        <w:rPr>
          <w:lang w:eastAsia="sl-SI"/>
        </w:rPr>
      </w:pPr>
      <w:r w:rsidRPr="00ED62A8">
        <w:rPr>
          <w:lang w:eastAsia="sl-SI"/>
        </w:rPr>
        <w:t>- 11210 Dvostanovanjske stavbe,</w:t>
      </w:r>
    </w:p>
    <w:p w14:paraId="29DDE12A" w14:textId="77777777" w:rsidR="00827210" w:rsidRPr="00ED62A8" w:rsidRDefault="00827210" w:rsidP="00827210">
      <w:pPr>
        <w:autoSpaceDE w:val="0"/>
        <w:autoSpaceDN w:val="0"/>
        <w:rPr>
          <w:rFonts w:ascii="ArialMT" w:hAnsi="ArialMT"/>
          <w:lang w:eastAsia="sl-SI"/>
        </w:rPr>
      </w:pPr>
      <w:r w:rsidRPr="00ED62A8">
        <w:rPr>
          <w:lang w:eastAsia="sl-SI"/>
        </w:rPr>
        <w:t xml:space="preserve">- 11220 Tri- </w:t>
      </w:r>
      <w:r w:rsidRPr="00ED62A8">
        <w:rPr>
          <w:rFonts w:ascii="ArialMT" w:hAnsi="ArialMT"/>
          <w:lang w:eastAsia="sl-SI"/>
        </w:rPr>
        <w:t>in večstanovanjske stavbe,</w:t>
      </w:r>
    </w:p>
    <w:p w14:paraId="4013D12A" w14:textId="77777777" w:rsidR="00827210" w:rsidRPr="00ED62A8" w:rsidRDefault="00827210" w:rsidP="00827210">
      <w:pPr>
        <w:autoSpaceDE w:val="0"/>
        <w:autoSpaceDN w:val="0"/>
        <w:rPr>
          <w:lang w:eastAsia="sl-SI"/>
        </w:rPr>
      </w:pPr>
      <w:r w:rsidRPr="00ED62A8">
        <w:rPr>
          <w:lang w:eastAsia="sl-SI"/>
        </w:rPr>
        <w:t>- 12203 Druge poslovne stavbe,</w:t>
      </w:r>
    </w:p>
    <w:p w14:paraId="534C07FB" w14:textId="77777777" w:rsidR="00827210" w:rsidRPr="00ED62A8" w:rsidRDefault="00827210" w:rsidP="00827210">
      <w:pPr>
        <w:autoSpaceDE w:val="0"/>
        <w:autoSpaceDN w:val="0"/>
        <w:rPr>
          <w:lang w:eastAsia="sl-SI"/>
        </w:rPr>
      </w:pPr>
      <w:r w:rsidRPr="00ED62A8">
        <w:rPr>
          <w:lang w:eastAsia="sl-SI"/>
        </w:rPr>
        <w:t>- 12304 Stavbe za storitvene dejavnosti,</w:t>
      </w:r>
    </w:p>
    <w:p w14:paraId="26DB0C37" w14:textId="77777777" w:rsidR="00827210" w:rsidRPr="00ED62A8" w:rsidRDefault="00827210" w:rsidP="00827210">
      <w:pPr>
        <w:autoSpaceDE w:val="0"/>
        <w:autoSpaceDN w:val="0"/>
        <w:rPr>
          <w:rFonts w:ascii="ArialMT" w:hAnsi="ArialMT"/>
          <w:lang w:eastAsia="sl-SI"/>
        </w:rPr>
      </w:pPr>
      <w:r w:rsidRPr="00ED62A8">
        <w:rPr>
          <w:lang w:eastAsia="sl-SI"/>
        </w:rPr>
        <w:t xml:space="preserve">- </w:t>
      </w:r>
      <w:r w:rsidRPr="00ED62A8">
        <w:rPr>
          <w:rFonts w:ascii="ArialMT" w:hAnsi="ArialMT"/>
          <w:lang w:eastAsia="sl-SI"/>
        </w:rPr>
        <w:t>12620 Muzeji in knjižnice: samo galerije, knjižnice,</w:t>
      </w:r>
    </w:p>
    <w:p w14:paraId="3C706044" w14:textId="77777777" w:rsidR="00827210" w:rsidRPr="00ED62A8" w:rsidRDefault="00827210" w:rsidP="00827210">
      <w:pPr>
        <w:autoSpaceDE w:val="0"/>
        <w:autoSpaceDN w:val="0"/>
        <w:rPr>
          <w:rFonts w:ascii="ArialMT" w:hAnsi="ArialMT"/>
          <w:lang w:eastAsia="sl-SI"/>
        </w:rPr>
      </w:pPr>
      <w:r w:rsidRPr="00ED62A8">
        <w:rPr>
          <w:lang w:eastAsia="sl-SI"/>
        </w:rPr>
        <w:t xml:space="preserve">- </w:t>
      </w:r>
      <w:r w:rsidRPr="00ED62A8">
        <w:rPr>
          <w:rFonts w:ascii="ArialMT" w:hAnsi="ArialMT"/>
          <w:lang w:eastAsia="sl-SI"/>
        </w:rPr>
        <w:t>12630 Stavbe za izobraževanje in znanstvenoraziskovalno delo,</w:t>
      </w:r>
    </w:p>
    <w:p w14:paraId="3E29D2B7" w14:textId="77777777" w:rsidR="00827210" w:rsidRPr="00ED62A8" w:rsidRDefault="00827210" w:rsidP="00827210">
      <w:pPr>
        <w:autoSpaceDE w:val="0"/>
        <w:autoSpaceDN w:val="0"/>
        <w:rPr>
          <w:lang w:eastAsia="sl-SI"/>
        </w:rPr>
      </w:pPr>
      <w:r w:rsidRPr="00ED62A8">
        <w:rPr>
          <w:lang w:eastAsia="sl-SI"/>
        </w:rPr>
        <w:t>- 12640 Stavbe za zdravstveno oskrbo: samo ambulante,</w:t>
      </w:r>
    </w:p>
    <w:p w14:paraId="6585914B" w14:textId="77777777" w:rsidR="00827210" w:rsidRPr="00ED62A8" w:rsidRDefault="00827210" w:rsidP="00827210">
      <w:pPr>
        <w:autoSpaceDE w:val="0"/>
        <w:autoSpaceDN w:val="0"/>
        <w:rPr>
          <w:rFonts w:ascii="ArialMT" w:hAnsi="ArialMT"/>
          <w:lang w:eastAsia="sl-SI"/>
        </w:rPr>
      </w:pPr>
      <w:r w:rsidRPr="00ED62A8">
        <w:rPr>
          <w:lang w:eastAsia="sl-SI"/>
        </w:rPr>
        <w:lastRenderedPageBreak/>
        <w:t xml:space="preserve">- </w:t>
      </w:r>
      <w:r w:rsidRPr="00ED62A8">
        <w:rPr>
          <w:rFonts w:ascii="ArialMT" w:hAnsi="ArialMT"/>
          <w:lang w:eastAsia="sl-SI"/>
        </w:rPr>
        <w:t>12650 Stavbe za šport,</w:t>
      </w:r>
    </w:p>
    <w:p w14:paraId="5023C9C7" w14:textId="77777777" w:rsidR="00827210" w:rsidRPr="00ED62A8" w:rsidRDefault="00827210" w:rsidP="00827210">
      <w:pPr>
        <w:autoSpaceDE w:val="0"/>
        <w:autoSpaceDN w:val="0"/>
        <w:rPr>
          <w:rFonts w:ascii="ArialMT" w:hAnsi="ArialMT"/>
          <w:lang w:eastAsia="sl-SI"/>
        </w:rPr>
      </w:pPr>
      <w:r w:rsidRPr="00ED62A8">
        <w:rPr>
          <w:lang w:eastAsia="sl-SI"/>
        </w:rPr>
        <w:t xml:space="preserve">- </w:t>
      </w:r>
      <w:r w:rsidRPr="00ED62A8">
        <w:rPr>
          <w:rFonts w:ascii="ArialMT" w:hAnsi="ArialMT"/>
          <w:lang w:eastAsia="sl-SI"/>
        </w:rPr>
        <w:t>24110 Športna igrišča: samo igrišča za športe na prostem,</w:t>
      </w:r>
    </w:p>
    <w:p w14:paraId="78DB0F70" w14:textId="59B93C65" w:rsidR="00827210" w:rsidRPr="00ED62A8" w:rsidRDefault="00827210" w:rsidP="00827210">
      <w:pPr>
        <w:autoSpaceDE w:val="0"/>
        <w:autoSpaceDN w:val="0"/>
        <w:rPr>
          <w:rFonts w:ascii="ArialMT" w:hAnsi="ArialMT"/>
          <w:lang w:eastAsia="sl-SI"/>
        </w:rPr>
      </w:pPr>
      <w:r w:rsidRPr="00ED62A8">
        <w:rPr>
          <w:lang w:eastAsia="sl-SI"/>
        </w:rPr>
        <w:t xml:space="preserve">- </w:t>
      </w:r>
      <w:r w:rsidRPr="00ED62A8">
        <w:rPr>
          <w:rFonts w:ascii="ArialMT" w:hAnsi="ArialMT"/>
          <w:lang w:eastAsia="sl-SI"/>
        </w:rPr>
        <w:t>24122 Drugi gradbeni inženirski objekti za šport, rekreacijo in prosti čas: samo otroška in druga</w:t>
      </w:r>
      <w:r w:rsidR="003C359D">
        <w:rPr>
          <w:rFonts w:ascii="ArialMT" w:hAnsi="ArialMT"/>
          <w:lang w:eastAsia="sl-SI"/>
        </w:rPr>
        <w:t xml:space="preserve"> </w:t>
      </w:r>
      <w:r w:rsidRPr="00ED62A8">
        <w:rPr>
          <w:rFonts w:ascii="ArialMT" w:hAnsi="ArialMT"/>
          <w:lang w:eastAsia="sl-SI"/>
        </w:rPr>
        <w:t>javna igrišča, javni vrtovi, parki, trgi, ki niso sestavni deli javne ceste, zelenice in druge urejene zelene</w:t>
      </w:r>
      <w:r w:rsidR="003C359D">
        <w:rPr>
          <w:rFonts w:ascii="ArialMT" w:hAnsi="ArialMT"/>
          <w:lang w:eastAsia="sl-SI"/>
        </w:rPr>
        <w:t xml:space="preserve"> </w:t>
      </w:r>
      <w:r w:rsidRPr="00ED62A8">
        <w:rPr>
          <w:lang w:eastAsia="sl-SI"/>
        </w:rPr>
        <w:t>po</w:t>
      </w:r>
      <w:r w:rsidRPr="00ED62A8">
        <w:rPr>
          <w:rFonts w:ascii="ArialMT" w:hAnsi="ArialMT"/>
          <w:lang w:eastAsia="sl-SI"/>
        </w:rPr>
        <w:t>vršine,</w:t>
      </w:r>
    </w:p>
    <w:p w14:paraId="06EC2EB5" w14:textId="77777777" w:rsidR="00827210" w:rsidRPr="00ED62A8" w:rsidRDefault="00827210" w:rsidP="00827210">
      <w:pPr>
        <w:rPr>
          <w:rFonts w:ascii="ArialMT" w:hAnsi="ArialMT"/>
          <w:lang w:eastAsia="sl-SI"/>
        </w:rPr>
      </w:pPr>
      <w:r w:rsidRPr="00ED62A8">
        <w:rPr>
          <w:lang w:eastAsia="sl-SI"/>
        </w:rPr>
        <w:t xml:space="preserve">- </w:t>
      </w:r>
      <w:r w:rsidRPr="00ED62A8">
        <w:rPr>
          <w:rFonts w:ascii="ArialMT" w:hAnsi="ArialMT"/>
          <w:lang w:eastAsia="sl-SI"/>
        </w:rPr>
        <w:t>12420 Garažne stavbe: samo garaže, razen javnih garaž, kolesarnice in pokrita parkirišča.</w:t>
      </w:r>
    </w:p>
    <w:p w14:paraId="003CFA02" w14:textId="77777777" w:rsidR="00827210" w:rsidRPr="00ED62A8" w:rsidRDefault="00827210" w:rsidP="00827210">
      <w:pPr>
        <w:rPr>
          <w:rFonts w:ascii="ArialMT" w:hAnsi="ArialMT"/>
          <w:lang w:eastAsia="sl-SI"/>
        </w:rPr>
      </w:pPr>
    </w:p>
    <w:p w14:paraId="3E4FCD42" w14:textId="6584C086" w:rsidR="00827210" w:rsidRPr="000F0A8B" w:rsidRDefault="000F0A8B" w:rsidP="00827210">
      <w:pPr>
        <w:autoSpaceDE w:val="0"/>
        <w:autoSpaceDN w:val="0"/>
        <w:rPr>
          <w:b/>
          <w:bCs/>
          <w:u w:val="single"/>
          <w:lang w:eastAsia="sl-SI"/>
        </w:rPr>
      </w:pPr>
      <w:r>
        <w:rPr>
          <w:b/>
          <w:bCs/>
          <w:u w:val="single"/>
          <w:lang w:eastAsia="sl-SI"/>
        </w:rPr>
        <w:t>2.</w:t>
      </w:r>
      <w:r w:rsidR="00827210" w:rsidRPr="000F0A8B">
        <w:rPr>
          <w:b/>
          <w:bCs/>
          <w:u w:val="single"/>
          <w:lang w:eastAsia="sl-SI"/>
        </w:rPr>
        <w:t>Pogojno dopustni objekti in dejavnosti:</w:t>
      </w:r>
    </w:p>
    <w:p w14:paraId="1B55BD4F" w14:textId="77777777" w:rsidR="00827210" w:rsidRPr="00ED62A8" w:rsidRDefault="00827210" w:rsidP="00827210">
      <w:pPr>
        <w:autoSpaceDE w:val="0"/>
        <w:autoSpaceDN w:val="0"/>
        <w:rPr>
          <w:rFonts w:ascii="ArialMT" w:hAnsi="ArialMT"/>
          <w:lang w:eastAsia="sl-SI"/>
        </w:rPr>
      </w:pPr>
      <w:r w:rsidRPr="00ED62A8">
        <w:rPr>
          <w:rFonts w:ascii="ArialMT" w:hAnsi="ArialMT"/>
          <w:lang w:eastAsia="sl-SI"/>
        </w:rPr>
        <w:t>a) 12303 Bencinski servisi (površina parcele, namenjene gradnji, do 1000,00 m2) in oskrbovalna mesta</w:t>
      </w:r>
    </w:p>
    <w:p w14:paraId="434C3067" w14:textId="77777777" w:rsidR="00827210" w:rsidRPr="00ED62A8" w:rsidRDefault="00827210" w:rsidP="00827210">
      <w:pPr>
        <w:autoSpaceDE w:val="0"/>
        <w:autoSpaceDN w:val="0"/>
        <w:rPr>
          <w:lang w:eastAsia="sl-SI"/>
        </w:rPr>
      </w:pPr>
      <w:r w:rsidRPr="00ED62A8">
        <w:rPr>
          <w:lang w:eastAsia="sl-SI"/>
        </w:rPr>
        <w:t>za vozila na alternativni pogon so dopustni:</w:t>
      </w:r>
    </w:p>
    <w:p w14:paraId="5CE9BBCE" w14:textId="77777777" w:rsidR="00827210" w:rsidRPr="00ED62A8" w:rsidRDefault="00827210" w:rsidP="003C359D">
      <w:pPr>
        <w:autoSpaceDE w:val="0"/>
        <w:autoSpaceDN w:val="0"/>
        <w:ind w:left="284"/>
        <w:rPr>
          <w:rFonts w:ascii="ArialMT" w:hAnsi="ArialMT"/>
          <w:lang w:eastAsia="sl-SI"/>
        </w:rPr>
      </w:pPr>
      <w:r w:rsidRPr="00ED62A8">
        <w:rPr>
          <w:lang w:eastAsia="sl-SI"/>
        </w:rPr>
        <w:t xml:space="preserve">- </w:t>
      </w:r>
      <w:r w:rsidRPr="00ED62A8">
        <w:rPr>
          <w:rFonts w:ascii="ArialMT" w:hAnsi="ArialMT"/>
          <w:lang w:eastAsia="sl-SI"/>
        </w:rPr>
        <w:t>v ožjem mestnem središču samo v garažnih stavbah,</w:t>
      </w:r>
    </w:p>
    <w:p w14:paraId="0DD6A641" w14:textId="77777777" w:rsidR="00827210" w:rsidRPr="00ED62A8" w:rsidRDefault="00827210" w:rsidP="003C359D">
      <w:pPr>
        <w:autoSpaceDE w:val="0"/>
        <w:autoSpaceDN w:val="0"/>
        <w:ind w:left="284"/>
        <w:rPr>
          <w:rFonts w:ascii="ArialMT" w:hAnsi="ArialMT"/>
          <w:lang w:eastAsia="sl-SI"/>
        </w:rPr>
      </w:pPr>
      <w:r w:rsidRPr="00ED62A8">
        <w:rPr>
          <w:lang w:eastAsia="sl-SI"/>
        </w:rPr>
        <w:t xml:space="preserve">- </w:t>
      </w:r>
      <w:r w:rsidRPr="00ED62A8">
        <w:rPr>
          <w:rFonts w:ascii="ArialMT" w:hAnsi="ArialMT"/>
          <w:lang w:eastAsia="sl-SI"/>
        </w:rPr>
        <w:t>izven ožjega mestnega središča ob lokalnih krajevnih cestah (LK) ali cestah višje kategorije,</w:t>
      </w:r>
    </w:p>
    <w:p w14:paraId="5F4AB646" w14:textId="0FF52EF1" w:rsidR="00827210" w:rsidRPr="00ED62A8" w:rsidRDefault="00827210" w:rsidP="003C359D">
      <w:pPr>
        <w:autoSpaceDE w:val="0"/>
        <w:autoSpaceDN w:val="0"/>
        <w:ind w:left="284"/>
        <w:rPr>
          <w:rFonts w:ascii="ArialMT" w:hAnsi="ArialMT"/>
          <w:lang w:eastAsia="sl-SI"/>
        </w:rPr>
      </w:pPr>
      <w:r w:rsidRPr="00ED62A8">
        <w:rPr>
          <w:lang w:eastAsia="sl-SI"/>
        </w:rPr>
        <w:t>- omejitev velikosti parcele, namenjene gradnji, za bencinske servise in za oskrbovalna mesta za</w:t>
      </w:r>
      <w:r w:rsidR="003C359D">
        <w:rPr>
          <w:lang w:eastAsia="sl-SI"/>
        </w:rPr>
        <w:t xml:space="preserve"> </w:t>
      </w:r>
      <w:r w:rsidRPr="00ED62A8">
        <w:rPr>
          <w:rFonts w:ascii="ArialMT" w:hAnsi="ArialMT"/>
          <w:lang w:eastAsia="sl-SI"/>
        </w:rPr>
        <w:t>vozila na alternativni pogon ne velja za lokacije, ki mejijo na glavne mestne ceste izven območja ožjega</w:t>
      </w:r>
      <w:r w:rsidR="003C359D">
        <w:rPr>
          <w:rFonts w:ascii="ArialMT" w:hAnsi="ArialMT"/>
          <w:lang w:eastAsia="sl-SI"/>
        </w:rPr>
        <w:t xml:space="preserve"> </w:t>
      </w:r>
      <w:r w:rsidRPr="00ED62A8">
        <w:rPr>
          <w:rFonts w:ascii="ArialMT" w:hAnsi="ArialMT"/>
          <w:lang w:eastAsia="sl-SI"/>
        </w:rPr>
        <w:t>mestnega središča.</w:t>
      </w:r>
    </w:p>
    <w:p w14:paraId="31C6F898" w14:textId="599F0841" w:rsidR="00827210" w:rsidRPr="00ED62A8" w:rsidRDefault="00827210" w:rsidP="00827210">
      <w:pPr>
        <w:autoSpaceDE w:val="0"/>
        <w:autoSpaceDN w:val="0"/>
        <w:rPr>
          <w:lang w:eastAsia="sl-SI"/>
        </w:rPr>
      </w:pPr>
      <w:r w:rsidRPr="00ED62A8">
        <w:rPr>
          <w:rFonts w:ascii="ArialMT" w:hAnsi="ArialMT"/>
          <w:lang w:eastAsia="sl-SI"/>
        </w:rPr>
        <w:t>b) 12520 Rezervoarji, silosi in skladišča: samo skladišča, dopustna za potrebe osno</w:t>
      </w:r>
      <w:r w:rsidRPr="00ED62A8">
        <w:rPr>
          <w:lang w:eastAsia="sl-SI"/>
        </w:rPr>
        <w:t>vne dejavnosti</w:t>
      </w:r>
      <w:r w:rsidR="003C359D">
        <w:rPr>
          <w:lang w:eastAsia="sl-SI"/>
        </w:rPr>
        <w:t xml:space="preserve"> </w:t>
      </w:r>
      <w:r w:rsidRPr="00ED62A8">
        <w:rPr>
          <w:lang w:eastAsia="sl-SI"/>
        </w:rPr>
        <w:t>objekta.</w:t>
      </w:r>
    </w:p>
    <w:p w14:paraId="393BBF81" w14:textId="77777777" w:rsidR="00827210" w:rsidRPr="00ED62A8" w:rsidRDefault="00827210" w:rsidP="00827210">
      <w:pPr>
        <w:autoSpaceDE w:val="0"/>
        <w:autoSpaceDN w:val="0"/>
        <w:rPr>
          <w:rFonts w:ascii="ArialMT" w:hAnsi="ArialMT"/>
          <w:lang w:eastAsia="sl-SI"/>
        </w:rPr>
      </w:pPr>
      <w:r w:rsidRPr="00ED62A8">
        <w:rPr>
          <w:rFonts w:ascii="ArialMT" w:hAnsi="ArialMT"/>
          <w:lang w:eastAsia="sl-SI"/>
        </w:rPr>
        <w:t>c) 12510 Industrijske stavbe: samo delavnice izven širšega mestnega središča.</w:t>
      </w:r>
    </w:p>
    <w:p w14:paraId="442E7B00" w14:textId="77777777" w:rsidR="00827210" w:rsidRPr="00ED62A8" w:rsidRDefault="00827210" w:rsidP="00827210">
      <w:pPr>
        <w:autoSpaceDE w:val="0"/>
        <w:autoSpaceDN w:val="0"/>
        <w:rPr>
          <w:rFonts w:ascii="ArialMT" w:hAnsi="ArialMT"/>
          <w:lang w:eastAsia="sl-SI"/>
        </w:rPr>
      </w:pPr>
      <w:r w:rsidRPr="00ED62A8">
        <w:rPr>
          <w:rFonts w:ascii="ArialMT" w:hAnsi="ArialMT"/>
          <w:lang w:eastAsia="sl-SI"/>
        </w:rPr>
        <w:t>č) Objekti iz točk a), b) in c) niso dopustni v območjih tipa NV.</w:t>
      </w:r>
    </w:p>
    <w:p w14:paraId="46317F40" w14:textId="77777777" w:rsidR="00827210" w:rsidRPr="00ED62A8" w:rsidRDefault="00827210" w:rsidP="00827210">
      <w:pPr>
        <w:autoSpaceDE w:val="0"/>
        <w:autoSpaceDN w:val="0"/>
        <w:rPr>
          <w:lang w:eastAsia="sl-SI"/>
        </w:rPr>
      </w:pPr>
      <w:r w:rsidRPr="00ED62A8">
        <w:rPr>
          <w:lang w:eastAsia="sl-SI"/>
        </w:rPr>
        <w:t>3. Dopustne gradnje in druga dela:</w:t>
      </w:r>
    </w:p>
    <w:p w14:paraId="2CF3C6AE" w14:textId="16BC82F5" w:rsidR="00827210" w:rsidRPr="00ED62A8" w:rsidRDefault="00827210" w:rsidP="003C359D">
      <w:pPr>
        <w:autoSpaceDE w:val="0"/>
        <w:autoSpaceDN w:val="0"/>
        <w:rPr>
          <w:sz w:val="22"/>
          <w:szCs w:val="22"/>
        </w:rPr>
      </w:pPr>
      <w:r w:rsidRPr="00ED62A8">
        <w:rPr>
          <w:rFonts w:ascii="ArialMT" w:hAnsi="ArialMT"/>
          <w:lang w:eastAsia="sl-SI"/>
        </w:rPr>
        <w:t>V večstanovanjskih stavbah ob lokalnih zbirnih cestah (LZ) ali cestah višje kategorije in drugih javnih</w:t>
      </w:r>
      <w:r w:rsidR="003C359D">
        <w:rPr>
          <w:rFonts w:ascii="ArialMT" w:hAnsi="ArialMT"/>
          <w:lang w:eastAsia="sl-SI"/>
        </w:rPr>
        <w:t xml:space="preserve"> </w:t>
      </w:r>
      <w:r w:rsidRPr="00ED62A8">
        <w:rPr>
          <w:rFonts w:ascii="ArialMT" w:hAnsi="ArialMT"/>
          <w:lang w:eastAsia="sl-SI"/>
        </w:rPr>
        <w:t>površinah morajo biti deli pritličja, ki mejijo na cesto (razen v območjih tipa NV), v javni rabi</w:t>
      </w:r>
      <w:r w:rsidR="003C359D">
        <w:rPr>
          <w:rFonts w:ascii="ArialMT" w:hAnsi="ArialMT"/>
          <w:lang w:eastAsia="sl-SI"/>
        </w:rPr>
        <w:t>.</w:t>
      </w:r>
    </w:p>
    <w:p w14:paraId="1F19C5EC" w14:textId="77777777" w:rsidR="00827210" w:rsidRPr="00ED62A8" w:rsidRDefault="00827210" w:rsidP="00827210"/>
    <w:sectPr w:rsidR="00827210" w:rsidRPr="00ED62A8" w:rsidSect="002F2B61">
      <w:headerReference w:type="default" r:id="rId10"/>
      <w:pgSz w:w="11906" w:h="16838"/>
      <w:pgMar w:top="1418" w:right="68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3AC28" w14:textId="77777777" w:rsidR="00827210" w:rsidRDefault="00827210">
      <w:r>
        <w:separator/>
      </w:r>
    </w:p>
  </w:endnote>
  <w:endnote w:type="continuationSeparator" w:id="0">
    <w:p w14:paraId="4FFDC3F5" w14:textId="77777777" w:rsidR="00827210" w:rsidRDefault="0082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default"/>
  </w:font>
  <w:font w:name="ArialMT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751AD" w14:textId="77777777" w:rsidR="00827210" w:rsidRDefault="00827210">
      <w:r>
        <w:separator/>
      </w:r>
    </w:p>
  </w:footnote>
  <w:footnote w:type="continuationSeparator" w:id="0">
    <w:p w14:paraId="1459986D" w14:textId="77777777" w:rsidR="00827210" w:rsidRDefault="00827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294BE" w14:textId="78422108" w:rsidR="002F2A71" w:rsidRPr="00EC0A5F" w:rsidRDefault="000F0A8B">
    <w:pPr>
      <w:pStyle w:val="Header"/>
      <w:rPr>
        <w:rFonts w:cs="Arial"/>
        <w:b/>
        <w:sz w:val="20"/>
      </w:rPr>
    </w:pPr>
    <w:r>
      <w:rPr>
        <w:rFonts w:cs="Arial"/>
        <w:b/>
        <w:sz w:val="20"/>
      </w:rPr>
      <w:t>Priloga št.:5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314C1"/>
    <w:multiLevelType w:val="singleLevel"/>
    <w:tmpl w:val="F0569A5E"/>
    <w:lvl w:ilvl="0">
      <w:start w:val="1"/>
      <w:numFmt w:val="bullet"/>
      <w:pStyle w:val="nastevanje1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A50211C"/>
    <w:multiLevelType w:val="multilevel"/>
    <w:tmpl w:val="DB92FC5E"/>
    <w:lvl w:ilvl="0">
      <w:start w:val="1"/>
      <w:numFmt w:val="none"/>
      <w:pStyle w:val="nastevanje2nivo"/>
      <w:lvlText w:val="-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nastevanje2nivo"/>
      <w:lvlText w:val="-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none"/>
      <w:pStyle w:val="nastevanje3nivo"/>
      <w:lvlText w:val="-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pStyle w:val="nastevanje4nivo"/>
      <w:lvlText w:val="-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pStyle w:val="nastevanje5nivo"/>
      <w:lvlText w:val="-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1B3629C9"/>
    <w:multiLevelType w:val="singleLevel"/>
    <w:tmpl w:val="EEC48E66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A13006D"/>
    <w:multiLevelType w:val="hybridMultilevel"/>
    <w:tmpl w:val="F15E430E"/>
    <w:lvl w:ilvl="0" w:tplc="334E81FE">
      <w:start w:val="1"/>
      <w:numFmt w:val="decimal"/>
      <w:pStyle w:val="stevilcenje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45287"/>
    <w:multiLevelType w:val="singleLevel"/>
    <w:tmpl w:val="B4D00052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80708A1"/>
    <w:multiLevelType w:val="singleLevel"/>
    <w:tmpl w:val="8290403E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10"/>
    <w:rsid w:val="0000203E"/>
    <w:rsid w:val="000044B8"/>
    <w:rsid w:val="00026411"/>
    <w:rsid w:val="00035BF1"/>
    <w:rsid w:val="00041EFB"/>
    <w:rsid w:val="00061C45"/>
    <w:rsid w:val="00080835"/>
    <w:rsid w:val="000B5251"/>
    <w:rsid w:val="000B71E2"/>
    <w:rsid w:val="000B7D18"/>
    <w:rsid w:val="000D6914"/>
    <w:rsid w:val="000F0A8B"/>
    <w:rsid w:val="000F57FB"/>
    <w:rsid w:val="00100EA0"/>
    <w:rsid w:val="00100F46"/>
    <w:rsid w:val="00104EB8"/>
    <w:rsid w:val="00111004"/>
    <w:rsid w:val="001336A3"/>
    <w:rsid w:val="00134784"/>
    <w:rsid w:val="001448C3"/>
    <w:rsid w:val="00144EBF"/>
    <w:rsid w:val="001450C6"/>
    <w:rsid w:val="001561D5"/>
    <w:rsid w:val="0016336A"/>
    <w:rsid w:val="00165853"/>
    <w:rsid w:val="0017153F"/>
    <w:rsid w:val="00182143"/>
    <w:rsid w:val="00182B43"/>
    <w:rsid w:val="001A066F"/>
    <w:rsid w:val="001B0301"/>
    <w:rsid w:val="001B1F12"/>
    <w:rsid w:val="001C0C5E"/>
    <w:rsid w:val="001C1A23"/>
    <w:rsid w:val="001C5DB5"/>
    <w:rsid w:val="001D7779"/>
    <w:rsid w:val="001E26B5"/>
    <w:rsid w:val="001E3D6A"/>
    <w:rsid w:val="001F55E9"/>
    <w:rsid w:val="002033E6"/>
    <w:rsid w:val="002232BF"/>
    <w:rsid w:val="00233996"/>
    <w:rsid w:val="002344E2"/>
    <w:rsid w:val="002428EC"/>
    <w:rsid w:val="00245384"/>
    <w:rsid w:val="00250FE8"/>
    <w:rsid w:val="002548A7"/>
    <w:rsid w:val="00256B50"/>
    <w:rsid w:val="00287CC4"/>
    <w:rsid w:val="002A2A96"/>
    <w:rsid w:val="002A6DC1"/>
    <w:rsid w:val="002B043E"/>
    <w:rsid w:val="002C093F"/>
    <w:rsid w:val="002C12D8"/>
    <w:rsid w:val="002C6D84"/>
    <w:rsid w:val="002F2A71"/>
    <w:rsid w:val="002F2B61"/>
    <w:rsid w:val="00312ADE"/>
    <w:rsid w:val="00325B97"/>
    <w:rsid w:val="003275F6"/>
    <w:rsid w:val="0034020D"/>
    <w:rsid w:val="00347AE8"/>
    <w:rsid w:val="00352083"/>
    <w:rsid w:val="003551A6"/>
    <w:rsid w:val="00366F2F"/>
    <w:rsid w:val="003809E1"/>
    <w:rsid w:val="003C359D"/>
    <w:rsid w:val="003D026C"/>
    <w:rsid w:val="003E7D66"/>
    <w:rsid w:val="003F4583"/>
    <w:rsid w:val="003F7B45"/>
    <w:rsid w:val="00405ABD"/>
    <w:rsid w:val="00405DF3"/>
    <w:rsid w:val="00413C80"/>
    <w:rsid w:val="0044070B"/>
    <w:rsid w:val="0044595A"/>
    <w:rsid w:val="004465B9"/>
    <w:rsid w:val="00460AEB"/>
    <w:rsid w:val="004661F2"/>
    <w:rsid w:val="00484103"/>
    <w:rsid w:val="00485FD1"/>
    <w:rsid w:val="00486F1A"/>
    <w:rsid w:val="004902FE"/>
    <w:rsid w:val="004908F1"/>
    <w:rsid w:val="00491A71"/>
    <w:rsid w:val="00494AB1"/>
    <w:rsid w:val="00497162"/>
    <w:rsid w:val="004A4D3A"/>
    <w:rsid w:val="004C53A5"/>
    <w:rsid w:val="004D0D44"/>
    <w:rsid w:val="004D1CC0"/>
    <w:rsid w:val="004D428E"/>
    <w:rsid w:val="004E40A2"/>
    <w:rsid w:val="004E4493"/>
    <w:rsid w:val="004F1867"/>
    <w:rsid w:val="004F2909"/>
    <w:rsid w:val="00505D9E"/>
    <w:rsid w:val="00512A14"/>
    <w:rsid w:val="00514C12"/>
    <w:rsid w:val="00517851"/>
    <w:rsid w:val="00532A5D"/>
    <w:rsid w:val="00541A9E"/>
    <w:rsid w:val="00547106"/>
    <w:rsid w:val="0055687D"/>
    <w:rsid w:val="00557CC1"/>
    <w:rsid w:val="0056315B"/>
    <w:rsid w:val="005761F8"/>
    <w:rsid w:val="005B0149"/>
    <w:rsid w:val="005C7635"/>
    <w:rsid w:val="005D2C9D"/>
    <w:rsid w:val="005E601A"/>
    <w:rsid w:val="00604C21"/>
    <w:rsid w:val="00610A53"/>
    <w:rsid w:val="0062305C"/>
    <w:rsid w:val="006302FF"/>
    <w:rsid w:val="00630E8C"/>
    <w:rsid w:val="00633D14"/>
    <w:rsid w:val="006358D7"/>
    <w:rsid w:val="00653737"/>
    <w:rsid w:val="00661FD7"/>
    <w:rsid w:val="0067572D"/>
    <w:rsid w:val="00677138"/>
    <w:rsid w:val="006916AB"/>
    <w:rsid w:val="00695DE0"/>
    <w:rsid w:val="006A6CCE"/>
    <w:rsid w:val="006B05B4"/>
    <w:rsid w:val="006F0F89"/>
    <w:rsid w:val="006F1BE2"/>
    <w:rsid w:val="00711534"/>
    <w:rsid w:val="007203F0"/>
    <w:rsid w:val="00725FB7"/>
    <w:rsid w:val="00730AB1"/>
    <w:rsid w:val="00744F21"/>
    <w:rsid w:val="00750746"/>
    <w:rsid w:val="00757B30"/>
    <w:rsid w:val="00777EC8"/>
    <w:rsid w:val="007805F6"/>
    <w:rsid w:val="00782849"/>
    <w:rsid w:val="007859DC"/>
    <w:rsid w:val="007A4211"/>
    <w:rsid w:val="007A7E71"/>
    <w:rsid w:val="007B77C0"/>
    <w:rsid w:val="007C5845"/>
    <w:rsid w:val="007D2156"/>
    <w:rsid w:val="007D70EB"/>
    <w:rsid w:val="007E3298"/>
    <w:rsid w:val="007E6523"/>
    <w:rsid w:val="007F465F"/>
    <w:rsid w:val="008110EA"/>
    <w:rsid w:val="008234D3"/>
    <w:rsid w:val="00827210"/>
    <w:rsid w:val="00833C3A"/>
    <w:rsid w:val="0084266E"/>
    <w:rsid w:val="008576CF"/>
    <w:rsid w:val="008663A2"/>
    <w:rsid w:val="00870955"/>
    <w:rsid w:val="00877812"/>
    <w:rsid w:val="008809BA"/>
    <w:rsid w:val="00881FE9"/>
    <w:rsid w:val="008831B0"/>
    <w:rsid w:val="00885CA4"/>
    <w:rsid w:val="00886408"/>
    <w:rsid w:val="00886B43"/>
    <w:rsid w:val="00892956"/>
    <w:rsid w:val="00892A75"/>
    <w:rsid w:val="008A1D32"/>
    <w:rsid w:val="008C6009"/>
    <w:rsid w:val="008D2E03"/>
    <w:rsid w:val="008F2BC9"/>
    <w:rsid w:val="009165B4"/>
    <w:rsid w:val="009222FB"/>
    <w:rsid w:val="009405FE"/>
    <w:rsid w:val="00942138"/>
    <w:rsid w:val="009432EA"/>
    <w:rsid w:val="0095503A"/>
    <w:rsid w:val="0097242A"/>
    <w:rsid w:val="009817C2"/>
    <w:rsid w:val="00986F71"/>
    <w:rsid w:val="009B4D5C"/>
    <w:rsid w:val="009D2733"/>
    <w:rsid w:val="00A251AD"/>
    <w:rsid w:val="00A30E88"/>
    <w:rsid w:val="00A445BE"/>
    <w:rsid w:val="00A76A9A"/>
    <w:rsid w:val="00AA2F68"/>
    <w:rsid w:val="00AA4B8B"/>
    <w:rsid w:val="00AC5256"/>
    <w:rsid w:val="00AC5573"/>
    <w:rsid w:val="00AD1F31"/>
    <w:rsid w:val="00AD44D4"/>
    <w:rsid w:val="00AE2943"/>
    <w:rsid w:val="00AF76E1"/>
    <w:rsid w:val="00B119CE"/>
    <w:rsid w:val="00B1728A"/>
    <w:rsid w:val="00B27874"/>
    <w:rsid w:val="00B35F45"/>
    <w:rsid w:val="00B37E97"/>
    <w:rsid w:val="00B47CBD"/>
    <w:rsid w:val="00B50479"/>
    <w:rsid w:val="00B80FD3"/>
    <w:rsid w:val="00B83302"/>
    <w:rsid w:val="00B84F04"/>
    <w:rsid w:val="00B9018B"/>
    <w:rsid w:val="00B92D6D"/>
    <w:rsid w:val="00BA001E"/>
    <w:rsid w:val="00BA3A1D"/>
    <w:rsid w:val="00BB5B14"/>
    <w:rsid w:val="00BC5AF8"/>
    <w:rsid w:val="00BD437E"/>
    <w:rsid w:val="00C31142"/>
    <w:rsid w:val="00C365C3"/>
    <w:rsid w:val="00C3758C"/>
    <w:rsid w:val="00C42AF8"/>
    <w:rsid w:val="00C44E9D"/>
    <w:rsid w:val="00C503E3"/>
    <w:rsid w:val="00C71305"/>
    <w:rsid w:val="00C719A0"/>
    <w:rsid w:val="00C93ACC"/>
    <w:rsid w:val="00C942CD"/>
    <w:rsid w:val="00CA0DAF"/>
    <w:rsid w:val="00CD4E33"/>
    <w:rsid w:val="00CF2746"/>
    <w:rsid w:val="00D27242"/>
    <w:rsid w:val="00D40678"/>
    <w:rsid w:val="00D4210F"/>
    <w:rsid w:val="00D44B18"/>
    <w:rsid w:val="00D619FA"/>
    <w:rsid w:val="00D67A73"/>
    <w:rsid w:val="00D7540C"/>
    <w:rsid w:val="00D767EE"/>
    <w:rsid w:val="00D7774C"/>
    <w:rsid w:val="00D84858"/>
    <w:rsid w:val="00D9426D"/>
    <w:rsid w:val="00DB0C3C"/>
    <w:rsid w:val="00DB416F"/>
    <w:rsid w:val="00DB7B3A"/>
    <w:rsid w:val="00DD2286"/>
    <w:rsid w:val="00DD329D"/>
    <w:rsid w:val="00DD7AAF"/>
    <w:rsid w:val="00DF42BF"/>
    <w:rsid w:val="00E0775D"/>
    <w:rsid w:val="00E24476"/>
    <w:rsid w:val="00E24581"/>
    <w:rsid w:val="00E3044A"/>
    <w:rsid w:val="00E43ED3"/>
    <w:rsid w:val="00E92A2D"/>
    <w:rsid w:val="00E93003"/>
    <w:rsid w:val="00E97C8A"/>
    <w:rsid w:val="00EA41D9"/>
    <w:rsid w:val="00EB15B2"/>
    <w:rsid w:val="00EC0A5F"/>
    <w:rsid w:val="00ED62A8"/>
    <w:rsid w:val="00F00197"/>
    <w:rsid w:val="00F073AF"/>
    <w:rsid w:val="00F130B8"/>
    <w:rsid w:val="00F201B8"/>
    <w:rsid w:val="00F2139B"/>
    <w:rsid w:val="00F2172C"/>
    <w:rsid w:val="00F25D1B"/>
    <w:rsid w:val="00F3155A"/>
    <w:rsid w:val="00F31940"/>
    <w:rsid w:val="00F35F5F"/>
    <w:rsid w:val="00F373E4"/>
    <w:rsid w:val="00F41BD5"/>
    <w:rsid w:val="00F50E4D"/>
    <w:rsid w:val="00F55D2D"/>
    <w:rsid w:val="00F73C05"/>
    <w:rsid w:val="00F74614"/>
    <w:rsid w:val="00F84873"/>
    <w:rsid w:val="00F94FE9"/>
    <w:rsid w:val="00F9735C"/>
    <w:rsid w:val="00FA575D"/>
    <w:rsid w:val="00FA594B"/>
    <w:rsid w:val="00FB049B"/>
    <w:rsid w:val="00FC77E2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EC500"/>
  <w15:chartTrackingRefBased/>
  <w15:docId w15:val="{76A618FD-8049-4BFF-9FD1-9621FB29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594B"/>
    <w:rPr>
      <w:rFonts w:ascii="Arial" w:hAnsi="Arial"/>
      <w:lang w:val="sl-SI" w:eastAsia="en-US"/>
    </w:rPr>
  </w:style>
  <w:style w:type="paragraph" w:styleId="Heading1">
    <w:name w:val="heading 1"/>
    <w:basedOn w:val="Normal"/>
    <w:next w:val="Normal"/>
    <w:qFormat/>
    <w:rsid w:val="00FA594B"/>
    <w:pPr>
      <w:keepNext/>
      <w:spacing w:after="3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FA594B"/>
    <w:pPr>
      <w:keepNext/>
      <w:spacing w:after="3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A594B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594B"/>
    <w:pPr>
      <w:tabs>
        <w:tab w:val="center" w:pos="4253"/>
        <w:tab w:val="right" w:pos="9072"/>
      </w:tabs>
    </w:pPr>
    <w:rPr>
      <w:sz w:val="16"/>
    </w:rPr>
  </w:style>
  <w:style w:type="paragraph" w:styleId="Footer">
    <w:name w:val="footer"/>
    <w:basedOn w:val="Normal"/>
    <w:rsid w:val="00FA594B"/>
    <w:pPr>
      <w:tabs>
        <w:tab w:val="center" w:pos="4253"/>
        <w:tab w:val="right" w:pos="9072"/>
      </w:tabs>
    </w:pPr>
    <w:rPr>
      <w:sz w:val="16"/>
    </w:rPr>
  </w:style>
  <w:style w:type="character" w:styleId="EndnoteReference">
    <w:name w:val="endnote reference"/>
    <w:basedOn w:val="DefaultParagraphFont"/>
    <w:semiHidden/>
    <w:rsid w:val="00FA594B"/>
    <w:rPr>
      <w:rFonts w:ascii="Arial" w:hAnsi="Arial"/>
      <w:vertAlign w:val="superscript"/>
    </w:rPr>
  </w:style>
  <w:style w:type="character" w:styleId="FootnoteReference">
    <w:name w:val="footnote reference"/>
    <w:basedOn w:val="DefaultParagraphFont"/>
    <w:semiHidden/>
    <w:rsid w:val="00FA594B"/>
    <w:rPr>
      <w:rFonts w:ascii="Arial" w:hAnsi="Arial"/>
      <w:vertAlign w:val="superscript"/>
    </w:rPr>
  </w:style>
  <w:style w:type="paragraph" w:customStyle="1" w:styleId="Naslov">
    <w:name w:val="Naslov"/>
    <w:basedOn w:val="Normal"/>
    <w:next w:val="Normal"/>
    <w:rsid w:val="00FA594B"/>
    <w:pPr>
      <w:keepNext/>
      <w:spacing w:after="360"/>
    </w:pPr>
    <w:rPr>
      <w:b/>
      <w:sz w:val="24"/>
    </w:rPr>
  </w:style>
  <w:style w:type="paragraph" w:customStyle="1" w:styleId="nastevanje1nivo">
    <w:name w:val="nastevanje_1_nivo"/>
    <w:basedOn w:val="Normal"/>
    <w:rsid w:val="00FA594B"/>
    <w:pPr>
      <w:numPr>
        <w:numId w:val="6"/>
      </w:numPr>
      <w:tabs>
        <w:tab w:val="left" w:pos="284"/>
      </w:tabs>
    </w:pPr>
  </w:style>
  <w:style w:type="paragraph" w:customStyle="1" w:styleId="nastevanje2nivo">
    <w:name w:val="nastevanje_2_nivo"/>
    <w:basedOn w:val="Normal"/>
    <w:rsid w:val="00C71305"/>
    <w:pPr>
      <w:numPr>
        <w:ilvl w:val="1"/>
        <w:numId w:val="7"/>
      </w:numPr>
      <w:tabs>
        <w:tab w:val="left" w:pos="567"/>
      </w:tabs>
    </w:pPr>
  </w:style>
  <w:style w:type="paragraph" w:customStyle="1" w:styleId="nastevanje3nivo">
    <w:name w:val="nastevanje_3_nivo"/>
    <w:basedOn w:val="Normal"/>
    <w:rsid w:val="00C71305"/>
    <w:pPr>
      <w:numPr>
        <w:ilvl w:val="2"/>
        <w:numId w:val="7"/>
      </w:numPr>
      <w:tabs>
        <w:tab w:val="left" w:pos="851"/>
      </w:tabs>
    </w:pPr>
  </w:style>
  <w:style w:type="paragraph" w:customStyle="1" w:styleId="nastevanje4nivo">
    <w:name w:val="nastevanje_4_nivo"/>
    <w:basedOn w:val="nastevanje3nivo"/>
    <w:rsid w:val="00C71305"/>
    <w:pPr>
      <w:numPr>
        <w:ilvl w:val="3"/>
      </w:numPr>
      <w:tabs>
        <w:tab w:val="clear" w:pos="851"/>
        <w:tab w:val="left" w:pos="1134"/>
      </w:tabs>
    </w:pPr>
  </w:style>
  <w:style w:type="paragraph" w:customStyle="1" w:styleId="nastevanje5nivo">
    <w:name w:val="nastevanje_5_nivo"/>
    <w:basedOn w:val="nastevanje4nivo"/>
    <w:rsid w:val="00C71305"/>
    <w:pPr>
      <w:numPr>
        <w:ilvl w:val="4"/>
      </w:numPr>
      <w:tabs>
        <w:tab w:val="clear" w:pos="1134"/>
        <w:tab w:val="left" w:pos="1418"/>
      </w:tabs>
    </w:pPr>
  </w:style>
  <w:style w:type="character" w:styleId="PageNumber">
    <w:name w:val="page number"/>
    <w:basedOn w:val="DefaultParagraphFont"/>
    <w:rsid w:val="00FA594B"/>
    <w:rPr>
      <w:rFonts w:ascii="Arial" w:hAnsi="Arial"/>
      <w:b/>
      <w:sz w:val="20"/>
    </w:rPr>
  </w:style>
  <w:style w:type="paragraph" w:customStyle="1" w:styleId="Podnaslov">
    <w:name w:val="Podnaslov"/>
    <w:basedOn w:val="Normal"/>
    <w:rsid w:val="00FA594B"/>
    <w:pPr>
      <w:keepNext/>
      <w:spacing w:after="360"/>
    </w:pPr>
    <w:rPr>
      <w:b/>
    </w:rPr>
  </w:style>
  <w:style w:type="paragraph" w:customStyle="1" w:styleId="Podpisnik1">
    <w:name w:val="Podpisnik(1)"/>
    <w:basedOn w:val="Normal"/>
    <w:next w:val="Normal"/>
    <w:rsid w:val="00FA594B"/>
    <w:pPr>
      <w:tabs>
        <w:tab w:val="left" w:pos="4253"/>
      </w:tabs>
    </w:pPr>
  </w:style>
  <w:style w:type="paragraph" w:customStyle="1" w:styleId="Podpisnik2">
    <w:name w:val="Podpisnik(2)"/>
    <w:basedOn w:val="Normal"/>
    <w:next w:val="Normal"/>
    <w:rsid w:val="00FA594B"/>
    <w:pPr>
      <w:tabs>
        <w:tab w:val="left" w:pos="4253"/>
        <w:tab w:val="left" w:pos="7088"/>
      </w:tabs>
    </w:pPr>
  </w:style>
  <w:style w:type="paragraph" w:customStyle="1" w:styleId="Podpisnik3">
    <w:name w:val="Podpisnik(3)"/>
    <w:basedOn w:val="Podpisnik2"/>
    <w:next w:val="Normal"/>
    <w:rsid w:val="00FA594B"/>
    <w:pPr>
      <w:tabs>
        <w:tab w:val="left" w:pos="1418"/>
      </w:tabs>
    </w:pPr>
  </w:style>
  <w:style w:type="paragraph" w:customStyle="1" w:styleId="stevilcenje">
    <w:name w:val="stevilcenje"/>
    <w:basedOn w:val="Normal"/>
    <w:rsid w:val="000B71E2"/>
    <w:pPr>
      <w:numPr>
        <w:numId w:val="11"/>
      </w:numPr>
      <w:ind w:left="340" w:hanging="340"/>
    </w:pPr>
  </w:style>
  <w:style w:type="character" w:styleId="CommentReference">
    <w:name w:val="annotation reference"/>
    <w:basedOn w:val="DefaultParagraphFont"/>
    <w:semiHidden/>
    <w:rsid w:val="00FA594B"/>
    <w:rPr>
      <w:rFonts w:ascii="Arial" w:hAnsi="Arial"/>
      <w:sz w:val="16"/>
    </w:rPr>
  </w:style>
  <w:style w:type="paragraph" w:styleId="TOAHeading">
    <w:name w:val="toa heading"/>
    <w:basedOn w:val="Normal"/>
    <w:next w:val="Normal"/>
    <w:semiHidden/>
    <w:rsid w:val="00FA594B"/>
    <w:pPr>
      <w:spacing w:before="120"/>
    </w:pPr>
    <w:rPr>
      <w:b/>
      <w:i/>
      <w:sz w:val="24"/>
    </w:rPr>
  </w:style>
  <w:style w:type="paragraph" w:styleId="TOC9">
    <w:name w:val="toc 9"/>
    <w:basedOn w:val="Normal"/>
    <w:next w:val="Normal"/>
    <w:semiHidden/>
    <w:rsid w:val="00FA594B"/>
    <w:pPr>
      <w:ind w:left="1600"/>
    </w:pPr>
  </w:style>
  <w:style w:type="paragraph" w:styleId="NoSpacing">
    <w:name w:val="No Spacing"/>
    <w:uiPriority w:val="1"/>
    <w:qFormat/>
    <w:rsid w:val="00E3044A"/>
    <w:rPr>
      <w:rFonts w:ascii="Arial" w:hAnsi="Arial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jpg@01D7220F.AB21ECA0" TargetMode="External"/></Relationships>
</file>

<file path=word/theme/theme1.xml><?xml version="1.0" encoding="utf-8"?>
<a:theme xmlns:a="http://schemas.openxmlformats.org/drawingml/2006/main" name="Office Theme">
  <a:themeElements>
    <a:clrScheme name="NLB">
      <a:dk1>
        <a:srgbClr val="757575"/>
      </a:dk1>
      <a:lt1>
        <a:srgbClr val="FFFFFF"/>
      </a:lt1>
      <a:dk2>
        <a:srgbClr val="FFFFFF"/>
      </a:dk2>
      <a:lt2>
        <a:srgbClr val="CCD32A"/>
      </a:lt2>
      <a:accent1>
        <a:srgbClr val="28007D"/>
      </a:accent1>
      <a:accent2>
        <a:srgbClr val="CCD32A"/>
      </a:accent2>
      <a:accent3>
        <a:srgbClr val="757575"/>
      </a:accent3>
      <a:accent4>
        <a:srgbClr val="937FBE"/>
      </a:accent4>
      <a:accent5>
        <a:srgbClr val="EEE895"/>
      </a:accent5>
      <a:accent6>
        <a:srgbClr val="BABABA"/>
      </a:accent6>
      <a:hlink>
        <a:srgbClr val="28007D"/>
      </a:hlink>
      <a:folHlink>
        <a:srgbClr val="28007D"/>
      </a:folHlink>
    </a:clrScheme>
    <a:fontScheme name="NL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8CB6E-BFE4-4A9A-BEC6-F73970C7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Ozimek Dejan (S-REAM)</dc:creator>
  <cp:keywords/>
  <dc:description/>
  <cp:lastModifiedBy>Pasar Darja (S-REAM)</cp:lastModifiedBy>
  <cp:revision>3</cp:revision>
  <dcterms:created xsi:type="dcterms:W3CDTF">2021-03-31T13:45:00Z</dcterms:created>
  <dcterms:modified xsi:type="dcterms:W3CDTF">2021-03-31T13:46:00Z</dcterms:modified>
</cp:coreProperties>
</file>